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FB0B93" w:rsidRPr="00620B19" w:rsidRDefault="00FB0B93" w:rsidP="00FB0B93">
      <w:pPr>
        <w:tabs>
          <w:tab w:val="left" w:pos="14656"/>
        </w:tabs>
        <w:jc w:val="center"/>
        <w:rPr>
          <w:b/>
          <w:sz w:val="20"/>
          <w:lang w:eastAsia="lt-LT"/>
        </w:rPr>
      </w:pPr>
      <w:r w:rsidRPr="00620B19">
        <w:rPr>
          <w:b/>
          <w:lang w:eastAsia="lt-LT"/>
        </w:rPr>
        <w:t xml:space="preserve">KLAIPĖDOS </w:t>
      </w:r>
      <w:r>
        <w:rPr>
          <w:b/>
          <w:lang w:eastAsia="lt-LT"/>
        </w:rPr>
        <w:t>LOPŠELIO-DARŽELIO ,,ŠVYTURĖLIS“</w:t>
      </w:r>
    </w:p>
    <w:p w:rsidR="00FB0B93" w:rsidRDefault="00FB0B93" w:rsidP="00FB0B93">
      <w:pPr>
        <w:jc w:val="center"/>
        <w:rPr>
          <w:b/>
          <w:lang w:eastAsia="lt-LT"/>
        </w:rPr>
      </w:pPr>
      <w:r>
        <w:rPr>
          <w:b/>
          <w:lang w:eastAsia="lt-LT"/>
        </w:rPr>
        <w:t>2021 METŲ VEIKLOS ATASKAITA</w:t>
      </w:r>
    </w:p>
    <w:p w:rsidR="00FB0B93" w:rsidRDefault="00FB0B93" w:rsidP="00FB0B93">
      <w:pPr>
        <w:ind w:firstLine="709"/>
        <w:jc w:val="both"/>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FB0B93" w:rsidRPr="008D0172" w:rsidTr="00FB0B93">
        <w:tc>
          <w:tcPr>
            <w:tcW w:w="9775" w:type="dxa"/>
            <w:tcBorders>
              <w:top w:val="nil"/>
              <w:left w:val="nil"/>
              <w:bottom w:val="nil"/>
              <w:right w:val="nil"/>
            </w:tcBorders>
          </w:tcPr>
          <w:p w:rsidR="00FB0B93" w:rsidRPr="004B1AFD" w:rsidRDefault="00FB0B93" w:rsidP="00FB0B93">
            <w:pPr>
              <w:ind w:left="8" w:firstLine="568"/>
              <w:jc w:val="both"/>
              <w:rPr>
                <w:strike/>
              </w:rPr>
            </w:pPr>
            <w:r>
              <w:t>Klaipėdos lopšelis-darželis ,,Švyturėlis“ (toliau – Įstaiga</w:t>
            </w:r>
            <w:r w:rsidRPr="00191C97">
              <w:t xml:space="preserve">) </w:t>
            </w:r>
            <w:r>
              <w:t>įgyvendina ikimokyklinio ir priešmokyklinio ugdymo programas. 2021-09-01 duomenimis Įstaigoje ugdyta</w:t>
            </w:r>
            <w:r w:rsidRPr="00191C97">
              <w:t xml:space="preserve"> </w:t>
            </w:r>
            <w:r w:rsidRPr="002B6B57">
              <w:t>143</w:t>
            </w:r>
            <w:r>
              <w:t xml:space="preserve"> ugdytiniai (2020</w:t>
            </w:r>
            <w:r w:rsidRPr="00191C97">
              <w:t xml:space="preserve"> m. – </w:t>
            </w:r>
            <w:r>
              <w:t>144 ugdytiniai</w:t>
            </w:r>
            <w:r w:rsidRPr="00191C97">
              <w:t>)</w:t>
            </w:r>
            <w:r>
              <w:t xml:space="preserve">, iš jų 15 ugdytinių – lopšelio grupėje, 102 ugdytiniai </w:t>
            </w:r>
            <w:r w:rsidRPr="00191C97">
              <w:t>–</w:t>
            </w:r>
            <w:r>
              <w:t xml:space="preserve"> ikimokyklinio ugdymo grupėse, 26 ugdytiniai – priešmokyklinio ugdymo grupėse. 2 specialiojo ugdymo grupėse buvo ugdoma 14 ugdytinių, turinčių didelių ir labai didelių specialiųjų ugdymosi poreikių.</w:t>
            </w:r>
            <w:r w:rsidRPr="00191C97">
              <w:t xml:space="preserve"> </w:t>
            </w:r>
            <w:r w:rsidRPr="00A268D8">
              <w:t xml:space="preserve">Dirbo 23 pedagogai, </w:t>
            </w:r>
            <w:r w:rsidRPr="00AD066C">
              <w:rPr>
                <w:color w:val="002060"/>
              </w:rPr>
              <w:t>t</w:t>
            </w:r>
            <w:r>
              <w:t>. y. 23,1 etato (2020</w:t>
            </w:r>
            <w:r w:rsidRPr="00191C97">
              <w:t xml:space="preserve"> m. – </w:t>
            </w:r>
            <w:r>
              <w:t>23,1</w:t>
            </w:r>
            <w:r w:rsidRPr="00191C97">
              <w:t xml:space="preserve"> etato), </w:t>
            </w:r>
            <w:r>
              <w:t>ir 23</w:t>
            </w:r>
            <w:r w:rsidRPr="00191C97">
              <w:t xml:space="preserve"> nepedagogini</w:t>
            </w:r>
            <w:r>
              <w:t>ai</w:t>
            </w:r>
            <w:r w:rsidRPr="00191C97">
              <w:t xml:space="preserve"> darbuotoj</w:t>
            </w:r>
            <w:r>
              <w:t>ai</w:t>
            </w:r>
            <w:r w:rsidRPr="00191C97">
              <w:t>, t. y.</w:t>
            </w:r>
            <w:r>
              <w:t xml:space="preserve"> 23,42 etato (2020 m. – 23,42</w:t>
            </w:r>
            <w:r w:rsidRPr="00191C97">
              <w:t xml:space="preserve"> etato).</w:t>
            </w:r>
            <w:r>
              <w:t xml:space="preserve"> </w:t>
            </w:r>
          </w:p>
          <w:p w:rsidR="00FB0B93" w:rsidRDefault="00FB0B93" w:rsidP="00197AE9">
            <w:pPr>
              <w:tabs>
                <w:tab w:val="left" w:pos="924"/>
              </w:tabs>
              <w:ind w:firstLine="603"/>
              <w:jc w:val="both"/>
            </w:pPr>
            <w:r>
              <w:t xml:space="preserve">Praėjusiais metais Įstaiga veikė vadovaudamasi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Įstaigos bendruomenė 2021</w:t>
            </w:r>
            <w:r w:rsidR="00C755F9">
              <w:t xml:space="preserve"> </w:t>
            </w:r>
            <w:r>
              <w:t>m. išsikėlė šias prioritetinės veiklos kryptis: 1) kokybiško ugdymo paslaugos teikimas įvairių gebėjimų vaikams; 2) saugios, sveikos ir pozityvios emocinės aplinkos kūrimas Įstaigoje. Siekė tokių strateginių tikslų – užtikrinti kokybišką ugdymo paslaugą įvairių gebėjimų vaikams; užtikrinti sveiką, saugią ir pozityvią emocinę aplinką, lemiančią gerą vaikų ir darbuotojų savijautą. Strateginiams tikslams įgyvendinti Strateginiame ir Veiklos planuose buvo iškelti konkretūs veiklos tikslai ir uždaviniai, numatytos priemonės laukiamam rezultatui pasiekti.</w:t>
            </w:r>
          </w:p>
          <w:p w:rsidR="00FB0B93" w:rsidRPr="00D248F2" w:rsidRDefault="00FB0B93" w:rsidP="00197AE9">
            <w:pPr>
              <w:ind w:firstLine="603"/>
              <w:jc w:val="both"/>
              <w:rPr>
                <w:strike/>
              </w:rPr>
            </w:pPr>
            <w:r>
              <w:t xml:space="preserve">Siekiant Strateginio plano pirmojo tikslo </w:t>
            </w:r>
            <w:r w:rsidRPr="00D248F2">
              <w:t>–</w:t>
            </w:r>
            <w:r>
              <w:t xml:space="preserve"> užtikrinti kokybišką ugdymo paslaugą įvairių gebėjimų vaikams</w:t>
            </w:r>
            <w:r w:rsidRPr="002D4FED">
              <w:rPr>
                <w:color w:val="FF0000"/>
              </w:rPr>
              <w:t xml:space="preserve"> </w:t>
            </w:r>
            <w:r w:rsidRPr="00D248F2">
              <w:t>–</w:t>
            </w:r>
            <w:r>
              <w:t xml:space="preserve"> Įstaigos veikla buvo orientuojama į kokybiškų ugdymo paslaugų teikimo  efektyvinimą įvairių gebėjimų vaikams. Strateginiam tikslui pasiekti buvo vykdomi du </w:t>
            </w:r>
            <w:r w:rsidRPr="002D4FED">
              <w:t>Veiklos plano uždaviniai</w:t>
            </w:r>
            <w:r>
              <w:t>:</w:t>
            </w:r>
            <w:r w:rsidRPr="00D248F2">
              <w:t xml:space="preserve"> </w:t>
            </w:r>
          </w:p>
          <w:p w:rsidR="00FB0B93" w:rsidRPr="005717F3" w:rsidRDefault="00FB0B93" w:rsidP="00197AE9">
            <w:pPr>
              <w:ind w:firstLine="603"/>
              <w:jc w:val="both"/>
              <w:rPr>
                <w:lang w:eastAsia="lt-LT"/>
              </w:rPr>
            </w:pPr>
            <w:r>
              <w:t>– į</w:t>
            </w:r>
            <w:r w:rsidRPr="00B13A19">
              <w:t xml:space="preserve">gyvendinant pirmąjį uždavinį – </w:t>
            </w:r>
            <w:r>
              <w:t xml:space="preserve">plėtoti vaiko kompetencijas, tenkinant individualius poreikius, ugdant darnią asmenybę ir taikant patrauklias veiklos formas </w:t>
            </w:r>
            <w:r w:rsidRPr="00B13A19">
              <w:t xml:space="preserve">– </w:t>
            </w:r>
            <w:r>
              <w:t>buvo įgyvendinama socialinių įgūdžių lavinimo programa ,,Zipio draugai“, kurios turinys pritaikytas ir specialiųjų ugdymosi poreikių turintiems vaikams bei parengtas priemonių komplektas. Šios programos dėka vaikai mokėsi spręsti kasdieniniame gyvenime pasitaikančias problemas ir ugdė(si) socialinius gebėjimus. Socialiniai emociniai įgūdžiai buvo ugdomi pagal programą ,,Kimochi“, kuri įgyvendinama 2 grupėse. Šokio judesių, taisyklingos laikysenos ir muzikos ritmo pajutimo vaikai buvo mokomi vykdant</w:t>
            </w:r>
            <w:r w:rsidRPr="005717F3">
              <w:rPr>
                <w:lang w:eastAsia="lt-LT"/>
              </w:rPr>
              <w:t xml:space="preserve"> neformaliojo ugdymo priešmokyklinio ir ikimokyklinio ugdymo šokio judesio mokymo</w:t>
            </w:r>
            <w:r>
              <w:rPr>
                <w:lang w:eastAsia="lt-LT"/>
              </w:rPr>
              <w:t xml:space="preserve"> programą. Vaikų sveikata </w:t>
            </w:r>
            <w:r w:rsidRPr="006D0384">
              <w:rPr>
                <w:lang w:eastAsia="lt-LT"/>
              </w:rPr>
              <w:t>buvo</w:t>
            </w:r>
            <w:r>
              <w:rPr>
                <w:lang w:eastAsia="lt-LT"/>
              </w:rPr>
              <w:t xml:space="preserve"> stiprinama ir skatinamas fizinis aktyvumas bei formuojami sveikos gyvensenos įgūdžiai, vykdant</w:t>
            </w:r>
            <w:r>
              <w:t xml:space="preserve"> neformaliojo</w:t>
            </w:r>
            <w:r w:rsidRPr="005717F3">
              <w:rPr>
                <w:lang w:eastAsia="lt-LT"/>
              </w:rPr>
              <w:t xml:space="preserve"> ugdymo ikimokyklinio amžiaus vaikų sveikos gy</w:t>
            </w:r>
            <w:r>
              <w:rPr>
                <w:lang w:eastAsia="lt-LT"/>
              </w:rPr>
              <w:t>vensenos ir sveikatos saugojimo ir</w:t>
            </w:r>
            <w:r w:rsidRPr="005717F3">
              <w:rPr>
                <w:lang w:eastAsia="lt-LT"/>
              </w:rPr>
              <w:t xml:space="preserve"> neformaliojo ugdymo priešmokyklinio amžiaus vaikų sveikatinimo ir</w:t>
            </w:r>
            <w:r>
              <w:rPr>
                <w:lang w:eastAsia="lt-LT"/>
              </w:rPr>
              <w:t xml:space="preserve"> fizinio aktyvumo programų priemones. Specialiųjų</w:t>
            </w:r>
            <w:r w:rsidRPr="005717F3">
              <w:rPr>
                <w:lang w:eastAsia="lt-LT"/>
              </w:rPr>
              <w:t xml:space="preserve"> </w:t>
            </w:r>
            <w:r>
              <w:rPr>
                <w:lang w:eastAsia="lt-LT"/>
              </w:rPr>
              <w:t xml:space="preserve">ugdymosi poreikių turinčių vaikų individualių gebėjimų realizavimui specialiosiose grupėse sukurta struktūruota aplinka. Koridoriuose sumontuotos manipuliacinės lentos veikia kaip papildomi, iš anksto su vaikais sutarti motyvaciniai stimulai arba kaip galimybė pakeisti aplinką, patiriant sensorinę perkrovą grupėje ar kitoje patalpoje. Specialiųjų ugdymosi poreikių turintiems vaikams (jų yra 20) sudaryti individualios pagalbos planai, kuriuose, atsižvelgiant į Pedagoginės psichologinės tarnybos rekomendacijas ir individualius vaikų gebėjimus, kiekvienam vaikui numatyta švietimo pagalba. Įstaigoje įdiegtas ir funkcionuoja elektroninis dienynas. Jo pagalba sėkmingai veikia nuosekli veiklos planavimo sistema, kuri užtikrino sistemingą, kryptingą ir kokybišką ugdymo proceso veiklos organizavimą, skatino komandinį darbą, įtraukiant tėvus į ugdymo procesą bei projektų organizavimą. Elektroninio dienyno pagalba pagerėjo vykdomas vaikų pažangos ir pasiekimų vertinimo procesas, vertinimo rodikliai ir suvestinės </w:t>
            </w:r>
            <w:r w:rsidRPr="006D0384">
              <w:rPr>
                <w:lang w:eastAsia="lt-LT"/>
              </w:rPr>
              <w:t>buvo</w:t>
            </w:r>
            <w:r>
              <w:rPr>
                <w:lang w:eastAsia="lt-LT"/>
              </w:rPr>
              <w:t xml:space="preserve"> pateikiamos tėvams. Elektroninio dienyno naudojimas užtikrino </w:t>
            </w:r>
            <w:r w:rsidRPr="00CA4646">
              <w:rPr>
                <w:lang w:eastAsia="lt-LT"/>
              </w:rPr>
              <w:t>veiklos</w:t>
            </w:r>
            <w:r>
              <w:rPr>
                <w:lang w:eastAsia="lt-LT"/>
              </w:rPr>
              <w:t xml:space="preserve"> procesų skaidrumą ir pagerino komunikaciją </w:t>
            </w:r>
            <w:r>
              <w:rPr>
                <w:lang w:eastAsia="lt-LT"/>
              </w:rPr>
              <w:lastRenderedPageBreak/>
              <w:t xml:space="preserve">tarp tėvų ir Įstaigos darbuotojų. Įgyvendinant ikimokyklinio ir priešmokyklinio ugdymo programas, </w:t>
            </w:r>
            <w:r w:rsidRPr="006D0384">
              <w:rPr>
                <w:lang w:eastAsia="lt-LT"/>
              </w:rPr>
              <w:t>buvo</w:t>
            </w:r>
            <w:r>
              <w:rPr>
                <w:lang w:eastAsia="lt-LT"/>
              </w:rPr>
              <w:t xml:space="preserve"> užtikrintas vaikų pažangos ir pasiekimų vertinimas, kuris orientuotas į ugdymo perspektyvą, o pedagogų stebėjimo rezultatai panaudoti vaiko pažangai ir pasiekimams gerinti. Ugdymo turinio įgyvendinimo kokybei teigiamos įtakos turėjo Įstaigoje vykdomi edukaciniai projektai. Per metus pravestos 27 edukacinės veiklos, suorganizuota 13 tradicinių ir 6 netradiciniai renginiai, organizuotos 5 projektinės savaitės, dalyvauta 5 tarptautiniuose ir 48 respublikiniuose projektuose, parodose, konkursuose. Užtikrinant ugdymo proceso kokybę, stebėta 20 ugdymo veiklų. Organizuota respublikinė apskrito stalo diskusija ,,Ugdymo aktualijos. Kaip dirbame šiandien“, kurioje septynių ikimokyklinio ugdymo įstaigų bendruomenės pasidalijo pedagoginio darbo patirtimi, ugdymo aktualijomis, iššūkiais, esant karantinui Įstaigoje ir ekstremaliai situacijai. Tėvų apklausos, vykdytos per elektroninį dienyną, duomenimis, tėvai teigia, kad jų vaiko sėkmingam ugdymuisi</w:t>
            </w:r>
            <w:r w:rsidRPr="00CA4646">
              <w:rPr>
                <w:strike/>
                <w:lang w:eastAsia="lt-LT"/>
              </w:rPr>
              <w:t xml:space="preserve"> </w:t>
            </w:r>
            <w:r w:rsidRPr="00CC460A">
              <w:rPr>
                <w:lang w:eastAsia="lt-LT"/>
              </w:rPr>
              <w:t>turi įtakos</w:t>
            </w:r>
            <w:r>
              <w:rPr>
                <w:lang w:eastAsia="lt-LT"/>
              </w:rPr>
              <w:t xml:space="preserve"> pedagogų ir pagalbos specialistų bendravimas su vaiku ir kai vaikas jaučiasi laukiamas Įstaigoje. Tėvai įvardija, kad aktyviai dalyvauja įstaigos veikloje priimant bendrus ugdymosi sprendimus, tiesioginis bendravimas su pedagogais yra prioritetas.</w:t>
            </w:r>
          </w:p>
          <w:p w:rsidR="00FB0B93" w:rsidRPr="009A6C0B" w:rsidRDefault="00FB0B93" w:rsidP="00197AE9">
            <w:pPr>
              <w:ind w:firstLine="603"/>
              <w:jc w:val="both"/>
              <w:rPr>
                <w:lang w:eastAsia="lt-LT"/>
              </w:rPr>
            </w:pPr>
            <w:r>
              <w:t>– į</w:t>
            </w:r>
            <w:r w:rsidRPr="00B13A19">
              <w:t xml:space="preserve">gyvendinant </w:t>
            </w:r>
            <w:r>
              <w:t>antrąjį</w:t>
            </w:r>
            <w:r w:rsidRPr="00B13A19">
              <w:t xml:space="preserve"> uždavinį – </w:t>
            </w:r>
            <w:r>
              <w:t>tobulinti mokytojų ir pagalbos mokiniui specialistų skaitmeninio raštingumo kompetencijas</w:t>
            </w:r>
            <w:r w:rsidRPr="00187F35">
              <w:rPr>
                <w:color w:val="FF0000"/>
              </w:rPr>
              <w:t xml:space="preserve"> </w:t>
            </w:r>
            <w:r w:rsidRPr="00B13A19">
              <w:t xml:space="preserve">– </w:t>
            </w:r>
            <w:r>
              <w:t>buvo parengta ilgalaikė (41 akad. val.) 2021 metų programa ,,Mikroklimato gerinimas, ugdymo turinio organizavimas ir valdymas, panaudojant IKT“. Įgyvendinant šią programą, įvyko 2 seminarai: ,,IKT priemonių naudojimas ikimokykliniame ir priešmokykliniame ugdyme“ (dalyvavo 23 pedagogai) ir ,,Emocijų ir elgesio sunkumų turintys vaikai: iššūkiai ir galimybės, emocijos, pyktis, kaip padėti sau“ (dalyvavo visi įstaigos darbuotojai). Vykdant ilgalaikę programą pedagogai išklausė mokymus ,,Profesinis perdegimas“. Įstaiga  organizavo metodinę dieną ,,Pasidalijimas gerąja patirtimi su socialiniais partneriais naudojant kompiuterinius įrankius ir programas“, kurioje</w:t>
            </w:r>
            <w:r w:rsidRPr="001A6D94">
              <w:rPr>
                <w:lang w:eastAsia="lt-LT"/>
              </w:rPr>
              <w:t xml:space="preserve"> </w:t>
            </w:r>
            <w:r>
              <w:rPr>
                <w:lang w:eastAsia="lt-LT"/>
              </w:rPr>
              <w:t>d</w:t>
            </w:r>
            <w:r w:rsidRPr="001A6D94">
              <w:rPr>
                <w:lang w:eastAsia="lt-LT"/>
              </w:rPr>
              <w:t xml:space="preserve">alyvavo 9 </w:t>
            </w:r>
            <w:r>
              <w:rPr>
                <w:lang w:eastAsia="lt-LT"/>
              </w:rPr>
              <w:t>respublikos ikimokyklinio ugdymo</w:t>
            </w:r>
            <w:r w:rsidRPr="001A6D94">
              <w:rPr>
                <w:lang w:eastAsia="lt-LT"/>
              </w:rPr>
              <w:t xml:space="preserve"> įstaigos</w:t>
            </w:r>
            <w:r>
              <w:rPr>
                <w:lang w:eastAsia="lt-LT"/>
              </w:rPr>
              <w:t>, 5 Įstaigos pedagogai skaitė pranešimus ir</w:t>
            </w:r>
            <w:r w:rsidRPr="001A6D94">
              <w:rPr>
                <w:lang w:eastAsia="lt-LT"/>
              </w:rPr>
              <w:t xml:space="preserve"> dalijosi gerąja patirtimi apie inovatyvių ugdymo metodų ir formų taikymą ugdomojoje veikloje</w:t>
            </w:r>
            <w:r>
              <w:rPr>
                <w:lang w:eastAsia="lt-LT"/>
              </w:rPr>
              <w:t>, naudojant informacines</w:t>
            </w:r>
            <w:r w:rsidRPr="00905D9A">
              <w:rPr>
                <w:lang w:eastAsia="lt-LT"/>
              </w:rPr>
              <w:t xml:space="preserve"> kompiuterines technologijas. </w:t>
            </w:r>
            <w:r>
              <w:rPr>
                <w:lang w:eastAsia="lt-LT"/>
              </w:rPr>
              <w:t xml:space="preserve">Siekiant užtikrinti gerosios patirties sklaidą bei efektyvią komunikaciją, organizuotas konferencijų, seminarų, kursų mokomosios medžiagos pristatymas ir aptarimas mokytojų metodinėje grupėje. </w:t>
            </w:r>
            <w:r>
              <w:t>Pedagogai tikslingai tobulino kvalifikaciją, atsižvelgdami į Įstaigos tikslus, prioritetus, asmeninius poreikius.</w:t>
            </w:r>
            <w:r>
              <w:rPr>
                <w:rFonts w:eastAsiaTheme="minorHAnsi"/>
              </w:rPr>
              <w:t xml:space="preserve"> Nuolatinis mokytojų profesinis tobulėjimas </w:t>
            </w:r>
            <w:r w:rsidRPr="009F3476">
              <w:rPr>
                <w:rFonts w:eastAsiaTheme="minorHAnsi"/>
              </w:rPr>
              <w:t>turėjo teigiamos įtakos</w:t>
            </w:r>
            <w:r>
              <w:rPr>
                <w:rFonts w:eastAsiaTheme="minorHAnsi"/>
              </w:rPr>
              <w:t xml:space="preserve"> ugdymo turinio kaitai ir darbo kokybei.</w:t>
            </w:r>
            <w:r w:rsidRPr="008623F9">
              <w:rPr>
                <w:rFonts w:eastAsiaTheme="minorHAnsi"/>
              </w:rPr>
              <w:t xml:space="preserve"> </w:t>
            </w:r>
            <w:r>
              <w:t xml:space="preserve">Visi įstaigos pedagogai ir mokytojo padėjėjai nuolat </w:t>
            </w:r>
            <w:r w:rsidRPr="009F3476">
              <w:t>kėlė</w:t>
            </w:r>
            <w:r>
              <w:t xml:space="preserve"> savo profesinę kvalifikaciją, savarankiškai klausydami seminarų internetinėje mokymų platformoje </w:t>
            </w:r>
            <w:r w:rsidRPr="007C180C">
              <w:rPr>
                <w:color w:val="002060"/>
              </w:rPr>
              <w:t>pedagogas.lt</w:t>
            </w:r>
            <w:r>
              <w:t>. Profesines kompetencijas 2021 metais pedagoginiai darbuotojai gilino</w:t>
            </w:r>
            <w:r w:rsidRPr="00645457">
              <w:rPr>
                <w:bCs/>
              </w:rPr>
              <w:t xml:space="preserve"> </w:t>
            </w:r>
            <w:r>
              <w:rPr>
                <w:bCs/>
              </w:rPr>
              <w:t>daugiau</w:t>
            </w:r>
            <w:r w:rsidRPr="00645457">
              <w:rPr>
                <w:bCs/>
              </w:rPr>
              <w:t xml:space="preserve"> kaip</w:t>
            </w:r>
            <w:r>
              <w:rPr>
                <w:bCs/>
              </w:rPr>
              <w:t xml:space="preserve"> p</w:t>
            </w:r>
            <w:r w:rsidRPr="00645457">
              <w:rPr>
                <w:bCs/>
              </w:rPr>
              <w:t xml:space="preserve">o 30 valandų (vidutiniškai po 69 valandas) </w:t>
            </w:r>
            <w:r>
              <w:rPr>
                <w:bCs/>
              </w:rPr>
              <w:t>ir įgijo lyderystės gebėjimų kompetencijų bei praplėtė, pagilino informacinių kompiuterinių technologijų naudojimo ugdymo procese kompetencijas</w:t>
            </w:r>
            <w:r>
              <w:t xml:space="preserve">, paįvairino ugdymo procesą naujomis formomis. </w:t>
            </w:r>
            <w:r w:rsidRPr="008623F9">
              <w:rPr>
                <w:rFonts w:eastAsiaTheme="minorHAnsi"/>
              </w:rPr>
              <w:t>Pedagogai parengė po 2 skaitmenizuotas veiklas ir priemones ugdytiniam</w:t>
            </w:r>
            <w:r>
              <w:rPr>
                <w:rFonts w:eastAsiaTheme="minorHAnsi"/>
              </w:rPr>
              <w:t>s ir jas pravedė, taip pat v</w:t>
            </w:r>
            <w:r w:rsidRPr="008623F9">
              <w:rPr>
                <w:rFonts w:eastAsiaTheme="minorHAnsi"/>
              </w:rPr>
              <w:t>ykdant nuotolinį ugdymą</w:t>
            </w:r>
            <w:r>
              <w:rPr>
                <w:rFonts w:eastAsiaTheme="minorHAnsi"/>
              </w:rPr>
              <w:t xml:space="preserve"> </w:t>
            </w:r>
            <w:r w:rsidRPr="008623F9">
              <w:rPr>
                <w:rFonts w:eastAsiaTheme="minorHAnsi"/>
              </w:rPr>
              <w:t xml:space="preserve">pedagogai </w:t>
            </w:r>
            <w:r>
              <w:rPr>
                <w:rFonts w:eastAsiaTheme="minorHAnsi"/>
              </w:rPr>
              <w:t xml:space="preserve">vaikams </w:t>
            </w:r>
            <w:r w:rsidRPr="008623F9">
              <w:rPr>
                <w:rFonts w:eastAsiaTheme="minorHAnsi"/>
              </w:rPr>
              <w:t>pateikė skaitmenizuotas užduotis elektroniniame dienyne.</w:t>
            </w:r>
            <w:r>
              <w:rPr>
                <w:rFonts w:eastAsiaTheme="minorHAnsi"/>
              </w:rPr>
              <w:t xml:space="preserve"> E</w:t>
            </w:r>
            <w:r w:rsidRPr="008623F9">
              <w:rPr>
                <w:rFonts w:eastAsiaTheme="minorHAnsi"/>
              </w:rPr>
              <w:t>sant pandeminei situacijai</w:t>
            </w:r>
            <w:r>
              <w:rPr>
                <w:rFonts w:eastAsiaTheme="minorHAnsi"/>
              </w:rPr>
              <w:t xml:space="preserve">, </w:t>
            </w:r>
            <w:r w:rsidRPr="009F3476">
              <w:rPr>
                <w:rFonts w:eastAsiaTheme="minorHAnsi"/>
              </w:rPr>
              <w:t>Įstaigos renginiai ir tarpinstitucinis bendradarbiavimas vyko</w:t>
            </w:r>
            <w:r>
              <w:rPr>
                <w:rFonts w:eastAsiaTheme="minorHAnsi"/>
              </w:rPr>
              <w:t xml:space="preserve"> nuotoliniu būdu.</w:t>
            </w:r>
            <w:r w:rsidRPr="005300FE">
              <w:rPr>
                <w:rFonts w:eastAsiaTheme="minorHAnsi"/>
                <w:highlight w:val="yellow"/>
              </w:rPr>
              <w:t xml:space="preserve"> </w:t>
            </w:r>
          </w:p>
          <w:p w:rsidR="00FB0B93" w:rsidRPr="00D248F2" w:rsidRDefault="00FB0B93" w:rsidP="00197AE9">
            <w:pPr>
              <w:ind w:firstLine="603"/>
              <w:jc w:val="both"/>
              <w:rPr>
                <w:strike/>
              </w:rPr>
            </w:pPr>
            <w:r>
              <w:t xml:space="preserve">Siekiant Strateginio plano antrojo tikslo </w:t>
            </w:r>
            <w:r w:rsidRPr="00D248F2">
              <w:t>–</w:t>
            </w:r>
            <w:r>
              <w:t xml:space="preserve"> užtikrinti sveiką, saugią ir šiuolaikinius ugdymo(si) reikalavimus atliepiančią aplinką </w:t>
            </w:r>
            <w:r w:rsidRPr="00D248F2">
              <w:t>–</w:t>
            </w:r>
            <w:r>
              <w:t xml:space="preserve"> Įstaigos veikla buvo orientuojama į saugios, sveikos ir pozityvios  emocinės aplinkos kūrimą Įstaigoje. </w:t>
            </w:r>
            <w:r w:rsidRPr="00D248F2">
              <w:t>Tiksl</w:t>
            </w:r>
            <w:r>
              <w:t>ui pasiekti</w:t>
            </w:r>
            <w:r w:rsidRPr="00D248F2">
              <w:t xml:space="preserve"> </w:t>
            </w:r>
            <w:r>
              <w:t>buvo vykdomi</w:t>
            </w:r>
            <w:r w:rsidRPr="00D248F2">
              <w:t xml:space="preserve"> </w:t>
            </w:r>
            <w:r>
              <w:t>du</w:t>
            </w:r>
            <w:r w:rsidRPr="00D248F2">
              <w:t xml:space="preserve"> </w:t>
            </w:r>
            <w:r>
              <w:t>Veiklos</w:t>
            </w:r>
            <w:r>
              <w:rPr>
                <w:color w:val="FF0000"/>
              </w:rPr>
              <w:t xml:space="preserve"> </w:t>
            </w:r>
            <w:r>
              <w:t>plano uždaviniai:</w:t>
            </w:r>
            <w:r w:rsidRPr="00D248F2">
              <w:t xml:space="preserve"> </w:t>
            </w:r>
          </w:p>
          <w:p w:rsidR="00FB0B93" w:rsidRDefault="00FB0B93" w:rsidP="00197AE9">
            <w:pPr>
              <w:ind w:firstLine="603"/>
              <w:jc w:val="both"/>
            </w:pPr>
            <w:r>
              <w:t xml:space="preserve">– </w:t>
            </w:r>
            <w:r w:rsidRPr="000954FC">
              <w:t xml:space="preserve">įgyvendinant pirmąjį uždavinį – </w:t>
            </w:r>
            <w:r>
              <w:t xml:space="preserve">užtikrinti įstaigos veiklos įsivertinimu grįstą ugdymo kokybę, stiprinant bendruomenės narių komandinį darbą bei kultūrinę sąveiką </w:t>
            </w:r>
            <w:r w:rsidRPr="000954FC">
              <w:t>– buvo</w:t>
            </w:r>
            <w:r>
              <w:t xml:space="preserve"> atliktas vidaus auditas, kurio metu nustatytos stipriosios sritys: pedagoginė ir socialinė pagalba vaikams, vadovų profesinė kompetencija, personalo komplektavimas ir darbo organizavimas, ugdymo turinio ir kasdienės veiklos planavimas, aplinkos svetingumas, saugumas, estetika. Per ataskaitinį laikotarpį patobulėjo šios sritys: specialiųjų ugdymosi poreikių vaikų ugdymosi pažanga, vadovų profesinė kompetencija, šeimos įtraukimas į vaikų ugdymo(si) procesą Įstaigoje, aplinkos svetingumas, saugumas, estetika. Toliau siekta, kad Įstaigos planavimas būtų grindžiamas veiklos (įsi)vertinimo rezultatais</w:t>
            </w:r>
            <w:r w:rsidRPr="000954FC">
              <w:t>.</w:t>
            </w:r>
            <w:r>
              <w:t xml:space="preserve"> Pedagogai atliko savianalizę, numatė profesinių kompetencijų </w:t>
            </w:r>
            <w:r>
              <w:lastRenderedPageBreak/>
              <w:t>tobulinimą, orientuotą į ugdymo kokybės pokyčius, Įstaigos prioritetų, tikslų ir uždavinių įgyvendinimą. Visi bendruomenės nariai dalyvavo planuojant, analizuojant, vertinant Įstaigos veiklą, taip buvo užtikrintas Įstaigos administracijos ir personalo tarpusavio santykių gerinimas, aukštos kultūros mikroklimato kūrimas</w:t>
            </w:r>
            <w:r w:rsidRPr="000954FC">
              <w:t>.</w:t>
            </w:r>
            <w:r>
              <w:t xml:space="preserve"> Karantino Įstaigoje metu ir esant ekstremaliai situacijai, papildomas dėmesys skirtas darbuotojų psichosocialinei būsenai ir psichologinio mikroklimato stiprinimui. Tuo tikslu Įstaigoje buvo atliktas Psichosocialinių rizikos veiksnių vertinimas, kurio rezultatai pateikti bendruomenei. Išvadose nurodyta, kad darbuotojų atliekamas darbas yra vadovų pripažįstamas ir vertinamas, darbuotojai žino, už ką yra atsakingi, ir yra patenkinti savo darbu, o tiesioginis vadovas yra visada pasiryžęs išklausyti darbuotojų problemas. Tačiau išvadose nurodyta, kad kai kurie darbuotojai jautėsi sudirgę ir patyrė susierzinimą.</w:t>
            </w:r>
            <w:r w:rsidRPr="000954FC">
              <w:t xml:space="preserve"> </w:t>
            </w:r>
            <w:r w:rsidRPr="00766A76">
              <w:t>Atkreipėme</w:t>
            </w:r>
            <w:r>
              <w:t xml:space="preserve"> dėmesį, kad tarpasmeniniai santykiai tarp kolegų būtų pagrįsti pagarba, etišku elgesiu bei moralinėmis vertybėmis, ir informavome darbuotojus, kur tokiu atveju jie gali kreiptis pagalbos. Per metus darbuotojai išklausė 7 valandų 2 krypčių seminarus ir mokymus apie stresą ir perdegimą pedagogo darbe bei emocijų suvokimą ir raišką. Siekiant konstruktyviai reaguoti į krizę įstaigoje, parengtas</w:t>
            </w:r>
            <w:r w:rsidRPr="00EC2E96">
              <w:rPr>
                <w:color w:val="002060"/>
              </w:rPr>
              <w:t xml:space="preserve"> </w:t>
            </w:r>
            <w:r w:rsidRPr="00BC5848">
              <w:t>Įstaigos krizių valdymo tvarkos aprašas</w:t>
            </w:r>
            <w:r>
              <w:t>;</w:t>
            </w:r>
            <w:r w:rsidRPr="00BC5848">
              <w:t xml:space="preserve"> </w:t>
            </w:r>
          </w:p>
          <w:p w:rsidR="00FB0B93" w:rsidRPr="008D0172" w:rsidRDefault="00FB0B93" w:rsidP="00197AE9">
            <w:pPr>
              <w:ind w:firstLine="603"/>
              <w:jc w:val="both"/>
            </w:pPr>
            <w:r>
              <w:t xml:space="preserve">– </w:t>
            </w:r>
            <w:r w:rsidRPr="008D0172">
              <w:t>įgyvendinant antrąjį uždavinį – gerinti Įstaigos materialinę bazę – buvo suremontuotos 2 laiptinės, pakeistos visų grupių virtuvėlės, pakeisti stalai ir kėdės 2 grupėse, įrengtos 2 lauko žaidimų aikštel</w:t>
            </w:r>
            <w:r>
              <w:t>ės, papildomai įsigytos „Kimochi“</w:t>
            </w:r>
            <w:r w:rsidRPr="008D0172">
              <w:t xml:space="preserve"> lėlės, praturtintos erdvės vaikų saviraiškai ir kūrybiškumui lavėti. Įstaigos teritorijoje atlikti aikštelių nusausinimo darbai ir taip išplėstos vaikų ugdymo galimybės lauko aikštelėse įvairiu metų laiku.</w:t>
            </w:r>
          </w:p>
          <w:p w:rsidR="00EB0A0B" w:rsidRDefault="00EB0A0B" w:rsidP="00197AE9">
            <w:pPr>
              <w:ind w:firstLine="603"/>
              <w:jc w:val="both"/>
            </w:pPr>
          </w:p>
          <w:p w:rsidR="00FB0B93" w:rsidRDefault="00FB0B93" w:rsidP="00197AE9">
            <w:pPr>
              <w:ind w:firstLine="603"/>
              <w:jc w:val="both"/>
            </w:pPr>
            <w:r>
              <w:t>2021 m. Įstaigos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FB0B93" w:rsidRPr="007F425A" w:rsidTr="00197AE9">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FB0B93" w:rsidRPr="007F425A" w:rsidRDefault="00FB0B93" w:rsidP="00197AE9">
                  <w:pPr>
                    <w:jc w:val="center"/>
                  </w:pPr>
                  <w:r w:rsidRPr="007F425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FB0B93" w:rsidRPr="007F425A" w:rsidRDefault="00FB0B93" w:rsidP="00197AE9">
                  <w:pPr>
                    <w:jc w:val="center"/>
                  </w:pPr>
                  <w:r>
                    <w:t>Lėšos (tūkst. Eur</w:t>
                  </w:r>
                  <w:r w:rsidRPr="007F425A">
                    <w:t>)</w:t>
                  </w:r>
                </w:p>
              </w:tc>
              <w:tc>
                <w:tcPr>
                  <w:tcW w:w="2950" w:type="dxa"/>
                  <w:vMerge w:val="restart"/>
                  <w:tcBorders>
                    <w:top w:val="single" w:sz="4" w:space="0" w:color="auto"/>
                    <w:left w:val="single" w:sz="4" w:space="0" w:color="auto"/>
                    <w:right w:val="single" w:sz="4" w:space="0" w:color="auto"/>
                  </w:tcBorders>
                </w:tcPr>
                <w:p w:rsidR="00FB0B93" w:rsidRPr="007F425A" w:rsidRDefault="00FB0B93" w:rsidP="00197AE9">
                  <w:pPr>
                    <w:jc w:val="center"/>
                  </w:pPr>
                  <w:r w:rsidRPr="007F425A">
                    <w:t>Pastabos</w:t>
                  </w:r>
                </w:p>
                <w:p w:rsidR="00FB0B93" w:rsidRPr="007F425A" w:rsidRDefault="00FB0B93" w:rsidP="00197AE9">
                  <w:pPr>
                    <w:jc w:val="center"/>
                  </w:pPr>
                </w:p>
              </w:tc>
            </w:tr>
            <w:tr w:rsidR="00FB0B93" w:rsidRPr="007F425A" w:rsidTr="00197AE9">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FB0B93" w:rsidRPr="007F425A" w:rsidRDefault="00FB0B93" w:rsidP="00197AE9">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pPr>
                    <w:jc w:val="center"/>
                  </w:pPr>
                  <w:r w:rsidRPr="007F425A">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pPr>
                    <w:jc w:val="center"/>
                  </w:pPr>
                  <w:r w:rsidRPr="007F425A">
                    <w:t>Įvykdymas (%)</w:t>
                  </w:r>
                </w:p>
              </w:tc>
              <w:tc>
                <w:tcPr>
                  <w:tcW w:w="2950" w:type="dxa"/>
                  <w:vMerge/>
                  <w:tcBorders>
                    <w:left w:val="single" w:sz="4" w:space="0" w:color="auto"/>
                    <w:bottom w:val="single" w:sz="4" w:space="0" w:color="auto"/>
                    <w:right w:val="single" w:sz="4" w:space="0" w:color="auto"/>
                  </w:tcBorders>
                </w:tcPr>
                <w:p w:rsidR="00FB0B93" w:rsidRPr="007F425A" w:rsidRDefault="00FB0B93" w:rsidP="00197AE9"/>
              </w:tc>
            </w:tr>
            <w:tr w:rsidR="00FB0B93" w:rsidRPr="007F425A" w:rsidTr="00197AE9">
              <w:trPr>
                <w:trHeight w:val="415"/>
              </w:trPr>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rsidRPr="00AB69C0">
                    <w:t>466,1</w:t>
                  </w:r>
                </w:p>
              </w:tc>
              <w:tc>
                <w:tcPr>
                  <w:tcW w:w="1438"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rsidRPr="00AB69C0">
                    <w:t>463,7</w:t>
                  </w:r>
                </w:p>
              </w:tc>
              <w:tc>
                <w:tcPr>
                  <w:tcW w:w="1283"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t>99,5</w:t>
                  </w:r>
                </w:p>
              </w:tc>
              <w:tc>
                <w:tcPr>
                  <w:tcW w:w="2950" w:type="dxa"/>
                  <w:tcBorders>
                    <w:top w:val="single" w:sz="4" w:space="0" w:color="auto"/>
                    <w:left w:val="single" w:sz="4" w:space="0" w:color="auto"/>
                    <w:bottom w:val="single" w:sz="4" w:space="0" w:color="auto"/>
                    <w:right w:val="single" w:sz="4" w:space="0" w:color="auto"/>
                  </w:tcBorders>
                </w:tcPr>
                <w:p w:rsidR="00FB0B93" w:rsidRPr="007F425A" w:rsidRDefault="00FB0B93" w:rsidP="00197AE9"/>
              </w:tc>
            </w:tr>
            <w:tr w:rsidR="00FB0B93" w:rsidRPr="007F425A" w:rsidTr="00197AE9">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rsidRPr="00AB69C0">
                    <w:t>274,7</w:t>
                  </w:r>
                </w:p>
              </w:tc>
              <w:tc>
                <w:tcPr>
                  <w:tcW w:w="1438"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rsidRPr="00AB69C0">
                    <w:t>273,6</w:t>
                  </w:r>
                </w:p>
              </w:tc>
              <w:tc>
                <w:tcPr>
                  <w:tcW w:w="1283"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rsidRPr="00AB69C0">
                    <w:t>99.6</w:t>
                  </w:r>
                </w:p>
              </w:tc>
              <w:tc>
                <w:tcPr>
                  <w:tcW w:w="2950" w:type="dxa"/>
                  <w:tcBorders>
                    <w:top w:val="single" w:sz="4" w:space="0" w:color="auto"/>
                    <w:left w:val="single" w:sz="4" w:space="0" w:color="auto"/>
                    <w:bottom w:val="single" w:sz="4" w:space="0" w:color="auto"/>
                    <w:right w:val="single" w:sz="4" w:space="0" w:color="auto"/>
                  </w:tcBorders>
                </w:tcPr>
                <w:p w:rsidR="00FB0B93" w:rsidRPr="007F425A" w:rsidRDefault="00FB0B93" w:rsidP="00197AE9"/>
              </w:tc>
            </w:tr>
            <w:tr w:rsidR="00FB0B93" w:rsidRPr="007F425A" w:rsidTr="00197AE9">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53,0</w:t>
                  </w:r>
                </w:p>
              </w:tc>
              <w:tc>
                <w:tcPr>
                  <w:tcW w:w="1438"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t>49,4</w:t>
                  </w:r>
                </w:p>
              </w:tc>
              <w:tc>
                <w:tcPr>
                  <w:tcW w:w="1283"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t>93,2</w:t>
                  </w:r>
                </w:p>
              </w:tc>
              <w:tc>
                <w:tcPr>
                  <w:tcW w:w="2950" w:type="dxa"/>
                  <w:tcBorders>
                    <w:top w:val="single" w:sz="4" w:space="0" w:color="auto"/>
                    <w:left w:val="single" w:sz="4" w:space="0" w:color="auto"/>
                    <w:bottom w:val="single" w:sz="4" w:space="0" w:color="auto"/>
                    <w:right w:val="single" w:sz="4" w:space="0" w:color="auto"/>
                  </w:tcBorders>
                </w:tcPr>
                <w:p w:rsidR="00FB0B93" w:rsidRDefault="00FB0B93" w:rsidP="00BD5FFD">
                  <w:pPr>
                    <w:jc w:val="both"/>
                  </w:pPr>
                  <w:r>
                    <w:t>Priežastys:</w:t>
                  </w:r>
                </w:p>
                <w:p w:rsidR="00FB0B93" w:rsidRDefault="00FB0B93" w:rsidP="00BD5FFD">
                  <w:pPr>
                    <w:pStyle w:val="Sraopastraipa"/>
                    <w:ind w:left="124"/>
                    <w:jc w:val="both"/>
                    <w:rPr>
                      <w:szCs w:val="24"/>
                    </w:rPr>
                  </w:pPr>
                  <w:r>
                    <w:rPr>
                      <w:szCs w:val="24"/>
                    </w:rPr>
                    <w:t>1. Blogas vaikų lankomumas.</w:t>
                  </w:r>
                </w:p>
                <w:p w:rsidR="00FB0B93" w:rsidRDefault="00FB0B93" w:rsidP="00BD5FFD">
                  <w:pPr>
                    <w:pStyle w:val="Sraopastraipa"/>
                    <w:ind w:left="124"/>
                    <w:jc w:val="both"/>
                    <w:rPr>
                      <w:szCs w:val="24"/>
                    </w:rPr>
                  </w:pPr>
                  <w:r>
                    <w:rPr>
                      <w:szCs w:val="24"/>
                    </w:rPr>
                    <w:t xml:space="preserve">2. Karantino metu atlyginimas už patiekalų gamybą (15 Eur) buvo skaičiuojamas atsižvelgiant į lankytas dienas. </w:t>
                  </w:r>
                </w:p>
                <w:p w:rsidR="00FB0B93" w:rsidRPr="009115A4" w:rsidRDefault="00FB0B93" w:rsidP="00BD5FFD">
                  <w:pPr>
                    <w:ind w:left="124"/>
                    <w:jc w:val="both"/>
                  </w:pPr>
                  <w:r>
                    <w:t>3. Nesurinkus SP lėšų, virėjų atlyginimas buvo mokamas iš SB lėšų</w:t>
                  </w:r>
                </w:p>
              </w:tc>
            </w:tr>
            <w:tr w:rsidR="00FB0B93" w:rsidRPr="007F425A" w:rsidTr="00197AE9">
              <w:trPr>
                <w:trHeight w:val="143"/>
              </w:trPr>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FB0B93" w:rsidRPr="009115A4" w:rsidRDefault="00FB0B93" w:rsidP="00197AE9">
                  <w:pPr>
                    <w:jc w:val="center"/>
                  </w:pPr>
                </w:p>
              </w:tc>
              <w:tc>
                <w:tcPr>
                  <w:tcW w:w="1438"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42</w:t>
                  </w:r>
                  <w:r>
                    <w:t>,0</w:t>
                  </w:r>
                </w:p>
              </w:tc>
              <w:tc>
                <w:tcPr>
                  <w:tcW w:w="1283"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c>
                <w:tcPr>
                  <w:tcW w:w="2950"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r>
            <w:tr w:rsidR="00FB0B93" w:rsidRPr="007F425A" w:rsidTr="00197AE9">
              <w:trPr>
                <w:trHeight w:val="125"/>
              </w:trPr>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w:t>
                  </w:r>
                </w:p>
              </w:tc>
              <w:tc>
                <w:tcPr>
                  <w:tcW w:w="1438"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w:t>
                  </w:r>
                </w:p>
              </w:tc>
              <w:tc>
                <w:tcPr>
                  <w:tcW w:w="1283"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w:t>
                  </w:r>
                </w:p>
              </w:tc>
              <w:tc>
                <w:tcPr>
                  <w:tcW w:w="2950"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r>
            <w:tr w:rsidR="00FB0B93" w:rsidRPr="007F425A" w:rsidTr="00197AE9">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t>Kitos lėšos (parama 1,2</w:t>
                  </w:r>
                  <w:r w:rsidRPr="007F425A">
                    <w:t xml:space="preserve"> % GM ir kt.)</w:t>
                  </w:r>
                </w:p>
              </w:tc>
              <w:tc>
                <w:tcPr>
                  <w:tcW w:w="1494"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c>
                <w:tcPr>
                  <w:tcW w:w="1438"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3,7</w:t>
                  </w:r>
                </w:p>
              </w:tc>
              <w:tc>
                <w:tcPr>
                  <w:tcW w:w="1283"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c>
                <w:tcPr>
                  <w:tcW w:w="2950"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r>
            <w:tr w:rsidR="00FB0B93" w:rsidRPr="007F425A" w:rsidTr="00197AE9">
              <w:trPr>
                <w:trHeight w:val="152"/>
              </w:trPr>
              <w:tc>
                <w:tcPr>
                  <w:tcW w:w="2333" w:type="dxa"/>
                  <w:tcBorders>
                    <w:top w:val="single" w:sz="4" w:space="0" w:color="auto"/>
                    <w:left w:val="single" w:sz="4" w:space="0" w:color="auto"/>
                    <w:bottom w:val="single" w:sz="4" w:space="0" w:color="auto"/>
                    <w:right w:val="single" w:sz="4" w:space="0" w:color="auto"/>
                  </w:tcBorders>
                  <w:hideMark/>
                </w:tcPr>
                <w:p w:rsidR="00FB0B93" w:rsidRPr="007F425A" w:rsidRDefault="00FB0B93" w:rsidP="00197AE9">
                  <w:r w:rsidRPr="007F425A">
                    <w:t>Iš viso</w:t>
                  </w:r>
                </w:p>
              </w:tc>
              <w:tc>
                <w:tcPr>
                  <w:tcW w:w="1494"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rsidRPr="00AB69C0">
                    <w:t>793,8</w:t>
                  </w:r>
                </w:p>
              </w:tc>
              <w:tc>
                <w:tcPr>
                  <w:tcW w:w="1438"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t>790,4</w:t>
                  </w:r>
                </w:p>
              </w:tc>
              <w:tc>
                <w:tcPr>
                  <w:tcW w:w="1283"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r>
                    <w:t>99,6</w:t>
                  </w:r>
                </w:p>
              </w:tc>
              <w:tc>
                <w:tcPr>
                  <w:tcW w:w="2950" w:type="dxa"/>
                  <w:tcBorders>
                    <w:top w:val="single" w:sz="4" w:space="0" w:color="auto"/>
                    <w:left w:val="single" w:sz="4" w:space="0" w:color="auto"/>
                    <w:bottom w:val="single" w:sz="4" w:space="0" w:color="auto"/>
                    <w:right w:val="single" w:sz="4" w:space="0" w:color="auto"/>
                  </w:tcBorders>
                </w:tcPr>
                <w:p w:rsidR="00FB0B93" w:rsidRPr="009115A4" w:rsidRDefault="00FB0B93" w:rsidP="00197AE9">
                  <w:pPr>
                    <w:jc w:val="center"/>
                  </w:pPr>
                </w:p>
              </w:tc>
            </w:tr>
            <w:tr w:rsidR="00FB0B93" w:rsidRPr="007F425A" w:rsidTr="00197AE9">
              <w:tc>
                <w:tcPr>
                  <w:tcW w:w="5265" w:type="dxa"/>
                  <w:gridSpan w:val="3"/>
                  <w:tcBorders>
                    <w:top w:val="single" w:sz="4" w:space="0" w:color="auto"/>
                    <w:left w:val="single" w:sz="4" w:space="0" w:color="auto"/>
                    <w:bottom w:val="single" w:sz="4" w:space="0" w:color="auto"/>
                    <w:right w:val="single" w:sz="4" w:space="0" w:color="auto"/>
                  </w:tcBorders>
                </w:tcPr>
                <w:p w:rsidR="00FB0B93" w:rsidRPr="007F425A" w:rsidRDefault="00FB0B93" w:rsidP="00197AE9">
                  <w:r w:rsidRPr="007F425A">
                    <w:t xml:space="preserve">Kreditinis įsiskolinimas (pagal </w:t>
                  </w:r>
                  <w:r>
                    <w:t>visus finansavimo šaltinius) 2022</w:t>
                  </w:r>
                  <w:r w:rsidRPr="007F425A">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FB0B93" w:rsidRPr="007F425A" w:rsidRDefault="00FB0B93" w:rsidP="00197AE9">
                  <w:r>
                    <w:t>–</w:t>
                  </w:r>
                </w:p>
              </w:tc>
              <w:tc>
                <w:tcPr>
                  <w:tcW w:w="2950" w:type="dxa"/>
                  <w:tcBorders>
                    <w:top w:val="single" w:sz="4" w:space="0" w:color="auto"/>
                    <w:left w:val="single" w:sz="4" w:space="0" w:color="auto"/>
                    <w:bottom w:val="single" w:sz="4" w:space="0" w:color="auto"/>
                    <w:right w:val="single" w:sz="4" w:space="0" w:color="auto"/>
                  </w:tcBorders>
                </w:tcPr>
                <w:p w:rsidR="00FB0B93" w:rsidRPr="007F425A" w:rsidRDefault="00FB0B93" w:rsidP="00197AE9"/>
              </w:tc>
            </w:tr>
          </w:tbl>
          <w:p w:rsidR="00FB0B93" w:rsidRDefault="00FB0B93" w:rsidP="00197AE9">
            <w:pPr>
              <w:tabs>
                <w:tab w:val="left" w:pos="284"/>
                <w:tab w:val="left" w:pos="426"/>
              </w:tabs>
              <w:ind w:firstLine="567"/>
              <w:jc w:val="both"/>
            </w:pPr>
          </w:p>
          <w:p w:rsidR="00FB0B93" w:rsidRDefault="00FB0B93" w:rsidP="00197AE9">
            <w:pPr>
              <w:tabs>
                <w:tab w:val="left" w:pos="284"/>
                <w:tab w:val="left" w:pos="426"/>
              </w:tabs>
              <w:ind w:firstLine="567"/>
              <w:jc w:val="both"/>
            </w:pPr>
          </w:p>
          <w:p w:rsidR="00FB0B93" w:rsidRPr="00846FB1" w:rsidRDefault="00FB0B93" w:rsidP="00197AE9">
            <w:pPr>
              <w:tabs>
                <w:tab w:val="left" w:pos="284"/>
                <w:tab w:val="left" w:pos="426"/>
              </w:tabs>
              <w:ind w:firstLine="567"/>
              <w:jc w:val="both"/>
              <w:rPr>
                <w:rFonts w:eastAsiaTheme="minorHAnsi"/>
              </w:rPr>
            </w:pPr>
            <w:r>
              <w:lastRenderedPageBreak/>
              <w:t>Įstaigoje 2021 m. buvo atlikti šie patikrinimai:</w:t>
            </w:r>
          </w:p>
          <w:p w:rsidR="00FB0B93" w:rsidRPr="00846FB1" w:rsidRDefault="00FB0B93" w:rsidP="00197AE9">
            <w:pPr>
              <w:tabs>
                <w:tab w:val="left" w:pos="284"/>
                <w:tab w:val="left" w:pos="426"/>
              </w:tabs>
              <w:spacing w:line="259" w:lineRule="auto"/>
              <w:ind w:firstLine="567"/>
              <w:jc w:val="both"/>
              <w:rPr>
                <w:rFonts w:eastAsiaTheme="minorHAnsi"/>
              </w:rPr>
            </w:pPr>
            <w:r w:rsidRPr="00846FB1">
              <w:rPr>
                <w:rFonts w:eastAsiaTheme="minorHAnsi"/>
              </w:rPr>
              <w:t>Nacionalinio visuomenės sveikatos centro prie Sveikatos apsaugos ministerijos. Tema: Karantino režimo priemonių laikymosi kontrolės rezultatų 2021 m. gegužės 24 d. aktas Nr.</w:t>
            </w:r>
            <w:r>
              <w:rPr>
                <w:rFonts w:eastAsiaTheme="minorHAnsi"/>
              </w:rPr>
              <w:t xml:space="preserve"> </w:t>
            </w:r>
            <w:r w:rsidRPr="00846FB1">
              <w:rPr>
                <w:rFonts w:eastAsiaTheme="minorHAnsi"/>
              </w:rPr>
              <w:t xml:space="preserve">(3-12 15.3.2)PA-3394. </w:t>
            </w:r>
            <w:r>
              <w:rPr>
                <w:rFonts w:eastAsiaTheme="minorHAnsi"/>
              </w:rPr>
              <w:t>P</w:t>
            </w:r>
            <w:r w:rsidRPr="00846FB1">
              <w:rPr>
                <w:rFonts w:eastAsiaTheme="minorHAnsi"/>
              </w:rPr>
              <w:t>ažeidimų nenustatyta.</w:t>
            </w:r>
          </w:p>
          <w:p w:rsidR="00FB0B93" w:rsidRPr="00846FB1" w:rsidRDefault="00FB0B93" w:rsidP="00197AE9">
            <w:pPr>
              <w:tabs>
                <w:tab w:val="left" w:pos="284"/>
                <w:tab w:val="left" w:pos="426"/>
              </w:tabs>
              <w:spacing w:line="259" w:lineRule="auto"/>
              <w:ind w:firstLine="567"/>
              <w:jc w:val="both"/>
              <w:rPr>
                <w:rFonts w:eastAsiaTheme="minorHAnsi"/>
              </w:rPr>
            </w:pPr>
            <w:r w:rsidRPr="00846FB1">
              <w:rPr>
                <w:rFonts w:eastAsiaTheme="minorHAnsi"/>
              </w:rPr>
              <w:t xml:space="preserve">Valstybinės maisto ir veterinarijos tarnybos Klaipėdos departamento Viešojo maitinimo įmonės patikrinimo 2021 m. spalio 25 d. aktas Nr. 37VMĮP-797. </w:t>
            </w:r>
            <w:r>
              <w:rPr>
                <w:rFonts w:eastAsiaTheme="minorHAnsi"/>
              </w:rPr>
              <w:t>N</w:t>
            </w:r>
            <w:r>
              <w:t>ustatyti bendri higienos neatitikimai (trūkumai pašalinti tą pačią dieną).</w:t>
            </w:r>
          </w:p>
          <w:p w:rsidR="00FB0B93" w:rsidRPr="00846FB1" w:rsidRDefault="00FB0B93" w:rsidP="00197AE9">
            <w:pPr>
              <w:tabs>
                <w:tab w:val="left" w:pos="284"/>
                <w:tab w:val="left" w:pos="426"/>
              </w:tabs>
              <w:spacing w:line="259" w:lineRule="auto"/>
              <w:ind w:firstLine="567"/>
              <w:jc w:val="both"/>
              <w:rPr>
                <w:rFonts w:eastAsiaTheme="minorHAnsi"/>
              </w:rPr>
            </w:pPr>
            <w:r w:rsidRPr="00846FB1">
              <w:rPr>
                <w:rFonts w:eastAsiaTheme="minorHAnsi"/>
              </w:rPr>
              <w:t>Kontrolės įstaiga Inspectum 2021 m. spalio 4 d. pateikė Vaikų žaidimų aikštelės kontrolės ataskaitą. Vaikų žaidimų įranga ir danga atitinka LST EN1176-1,3,6:2018 reikalavimus.</w:t>
            </w:r>
          </w:p>
          <w:p w:rsidR="00FB0B93" w:rsidRPr="00846FB1" w:rsidRDefault="00FB0B93" w:rsidP="00197AE9">
            <w:pPr>
              <w:tabs>
                <w:tab w:val="left" w:pos="745"/>
              </w:tabs>
              <w:spacing w:line="259" w:lineRule="auto"/>
              <w:ind w:left="36" w:firstLine="567"/>
              <w:jc w:val="both"/>
              <w:rPr>
                <w:rFonts w:eastAsiaTheme="minorHAnsi"/>
              </w:rPr>
            </w:pPr>
            <w:r w:rsidRPr="00846FB1">
              <w:rPr>
                <w:rFonts w:eastAsiaTheme="minorHAnsi"/>
              </w:rPr>
              <w:t xml:space="preserve">2021 m. </w:t>
            </w:r>
            <w:r>
              <w:rPr>
                <w:rFonts w:eastAsiaTheme="minorHAnsi"/>
              </w:rPr>
              <w:t>neišspręstos p</w:t>
            </w:r>
            <w:r w:rsidRPr="00846FB1">
              <w:rPr>
                <w:rFonts w:eastAsiaTheme="minorHAnsi"/>
              </w:rPr>
              <w:t>roblemos (sąlyg</w:t>
            </w:r>
            <w:r>
              <w:rPr>
                <w:rFonts w:eastAsiaTheme="minorHAnsi"/>
              </w:rPr>
              <w:t>otos vidaus ir išorės faktorių):</w:t>
            </w:r>
            <w:r w:rsidRPr="005A4ABA">
              <w:rPr>
                <w:rFonts w:eastAsiaTheme="minorHAnsi"/>
                <w:color w:val="002060"/>
              </w:rPr>
              <w:t xml:space="preserve"> </w:t>
            </w:r>
            <w:r>
              <w:rPr>
                <w:rFonts w:eastAsiaTheme="minorHAnsi"/>
              </w:rPr>
              <w:t>1) reikalinga Įstaigos šildymo tinklų sistemos renovacija; 2) reikalinga elektros instaliacijos renovacija; 3) reikalinga įrengti priešgaisrinę sistemą, atitinkančią šiuolaikinius gaisrinės saugos reikalavimus.</w:t>
            </w:r>
          </w:p>
          <w:p w:rsidR="00FB0B93" w:rsidRPr="008D0172" w:rsidRDefault="00FB0B93" w:rsidP="00197AE9">
            <w:pPr>
              <w:ind w:right="-22" w:firstLine="603"/>
              <w:jc w:val="both"/>
              <w:rPr>
                <w:color w:val="FF0000"/>
              </w:rPr>
            </w:pPr>
            <w:r>
              <w:rPr>
                <w:rFonts w:eastAsiaTheme="minorHAnsi"/>
              </w:rPr>
              <w:t>Planuodama 2022 metų veiklą, Įstaigos bendruomenė susitarė dėl prioritet</w:t>
            </w:r>
            <w:r w:rsidRPr="006B2F0C">
              <w:rPr>
                <w:rFonts w:eastAsiaTheme="minorHAnsi"/>
              </w:rPr>
              <w:t xml:space="preserve">o – </w:t>
            </w:r>
            <w:r w:rsidRPr="006B2F0C">
              <w:rPr>
                <w:lang w:eastAsia="lt-LT"/>
              </w:rPr>
              <w:t>b</w:t>
            </w:r>
            <w:r w:rsidRPr="006B2F0C">
              <w:rPr>
                <w:rFonts w:eastAsiaTheme="minorHAnsi"/>
              </w:rPr>
              <w:t>endruomenės nar</w:t>
            </w:r>
            <w:r>
              <w:rPr>
                <w:rFonts w:eastAsiaTheme="minorHAnsi"/>
              </w:rPr>
              <w:t>ių lyderystės gebėjimų didinimas</w:t>
            </w:r>
            <w:r w:rsidRPr="006B2F0C">
              <w:rPr>
                <w:rFonts w:eastAsiaTheme="minorHAnsi"/>
              </w:rPr>
              <w:t>, siekiant ugdymo paslaugų kokybės</w:t>
            </w:r>
            <w:r>
              <w:rPr>
                <w:rFonts w:eastAsiaTheme="minorHAnsi"/>
              </w:rPr>
              <w:t>.</w:t>
            </w:r>
          </w:p>
        </w:tc>
      </w:tr>
    </w:tbl>
    <w:p w:rsidR="00D57F27" w:rsidRDefault="00D57F27" w:rsidP="00FB0B93">
      <w:pPr>
        <w:ind w:firstLine="709"/>
        <w:jc w:val="both"/>
      </w:pPr>
    </w:p>
    <w:p w:rsidR="008C7982" w:rsidRDefault="008C7982" w:rsidP="00FB0B93">
      <w:pPr>
        <w:ind w:firstLine="709"/>
        <w:jc w:val="both"/>
      </w:pPr>
    </w:p>
    <w:p w:rsidR="00FB0B93" w:rsidRPr="00832CC9" w:rsidRDefault="00FB0B93" w:rsidP="00FB0B93">
      <w:pPr>
        <w:jc w:val="both"/>
      </w:pPr>
      <w:r>
        <w:t>Direktorė</w:t>
      </w:r>
      <w:r>
        <w:tab/>
      </w:r>
      <w:r>
        <w:tab/>
      </w:r>
      <w:r>
        <w:tab/>
      </w:r>
      <w:r>
        <w:tab/>
      </w:r>
      <w:r w:rsidR="00EB0A0B">
        <w:tab/>
      </w:r>
      <w:r w:rsidR="001B36E0">
        <w:t xml:space="preserve">                     </w:t>
      </w:r>
      <w:bookmarkStart w:id="2" w:name="_GoBack"/>
      <w:bookmarkEnd w:id="2"/>
      <w:r>
        <w:t>Virginija Jonušienė</w:t>
      </w:r>
    </w:p>
    <w:sectPr w:rsidR="00FB0B93"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B36E0">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86E38"/>
    <w:rsid w:val="0019615E"/>
    <w:rsid w:val="001B36E0"/>
    <w:rsid w:val="001F3E7E"/>
    <w:rsid w:val="0034183E"/>
    <w:rsid w:val="004476DD"/>
    <w:rsid w:val="00597EE8"/>
    <w:rsid w:val="005B434A"/>
    <w:rsid w:val="005F495C"/>
    <w:rsid w:val="008224A3"/>
    <w:rsid w:val="00832CC9"/>
    <w:rsid w:val="008354D5"/>
    <w:rsid w:val="008C7982"/>
    <w:rsid w:val="008E6E82"/>
    <w:rsid w:val="0099153E"/>
    <w:rsid w:val="00AF7D08"/>
    <w:rsid w:val="00B750B6"/>
    <w:rsid w:val="00BD5FFD"/>
    <w:rsid w:val="00C57681"/>
    <w:rsid w:val="00C755F9"/>
    <w:rsid w:val="00CA4D3B"/>
    <w:rsid w:val="00D42B72"/>
    <w:rsid w:val="00D57F27"/>
    <w:rsid w:val="00DA01F0"/>
    <w:rsid w:val="00E33871"/>
    <w:rsid w:val="00E56A73"/>
    <w:rsid w:val="00EB0A0B"/>
    <w:rsid w:val="00F1275A"/>
    <w:rsid w:val="00F72A1E"/>
    <w:rsid w:val="00FB0B93"/>
    <w:rsid w:val="00FE5C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81E0"/>
  <w15:docId w15:val="{BAD5A853-FED5-4A67-8B3E-04D621C9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B0B93"/>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7934</Words>
  <Characters>4523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12</cp:revision>
  <dcterms:created xsi:type="dcterms:W3CDTF">2022-03-01T09:01:00Z</dcterms:created>
  <dcterms:modified xsi:type="dcterms:W3CDTF">2022-03-02T08:01:00Z</dcterms:modified>
</cp:coreProperties>
</file>